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B2" w:rsidRPr="009339B2" w:rsidRDefault="009339B2" w:rsidP="009339B2">
      <w:pPr>
        <w:tabs>
          <w:tab w:val="decimal" w:pos="792"/>
        </w:tabs>
        <w:spacing w:after="432" w:line="276" w:lineRule="auto"/>
        <w:rPr>
          <w:lang w:val="pl-PL"/>
        </w:rPr>
      </w:pPr>
      <w:bookmarkStart w:id="0" w:name="_GoBack"/>
      <w:bookmarkEnd w:id="0"/>
    </w:p>
    <w:p w:rsidR="009339B2" w:rsidRPr="009339B2" w:rsidRDefault="009339B2" w:rsidP="009339B2">
      <w:pPr>
        <w:tabs>
          <w:tab w:val="decimal" w:pos="792"/>
        </w:tabs>
        <w:spacing w:after="432" w:line="276" w:lineRule="auto"/>
        <w:jc w:val="right"/>
        <w:rPr>
          <w:lang w:val="pl-PL"/>
        </w:rPr>
      </w:pPr>
      <w:r w:rsidRPr="009339B2">
        <w:rPr>
          <w:lang w:val="pl-PL"/>
        </w:rPr>
        <w:t xml:space="preserve">Kraków, dnia </w:t>
      </w:r>
      <w:r w:rsidR="00B41402">
        <w:rPr>
          <w:lang w:val="pl-PL"/>
        </w:rPr>
        <w:t>17</w:t>
      </w:r>
      <w:r w:rsidRPr="009339B2">
        <w:rPr>
          <w:lang w:val="pl-PL"/>
        </w:rPr>
        <w:t>.</w:t>
      </w:r>
      <w:r>
        <w:rPr>
          <w:lang w:val="pl-PL"/>
        </w:rPr>
        <w:t>1</w:t>
      </w:r>
      <w:r w:rsidR="00B41402">
        <w:rPr>
          <w:lang w:val="pl-PL"/>
        </w:rPr>
        <w:t>2</w:t>
      </w:r>
      <w:r w:rsidRPr="009339B2">
        <w:rPr>
          <w:lang w:val="pl-PL"/>
        </w:rPr>
        <w:t>.2019 r.</w:t>
      </w:r>
    </w:p>
    <w:p w:rsidR="009339B2" w:rsidRPr="009339B2" w:rsidRDefault="009339B2" w:rsidP="009339B2">
      <w:pPr>
        <w:tabs>
          <w:tab w:val="decimal" w:pos="792"/>
        </w:tabs>
        <w:spacing w:after="432" w:line="276" w:lineRule="auto"/>
        <w:rPr>
          <w:lang w:val="pl-PL"/>
        </w:rPr>
      </w:pPr>
    </w:p>
    <w:p w:rsidR="009339B2" w:rsidRPr="009339B2" w:rsidRDefault="009339B2" w:rsidP="009339B2">
      <w:pPr>
        <w:tabs>
          <w:tab w:val="decimal" w:pos="792"/>
        </w:tabs>
        <w:spacing w:after="432" w:line="276" w:lineRule="auto"/>
        <w:rPr>
          <w:lang w:val="pl-PL"/>
        </w:rPr>
      </w:pPr>
      <w:r w:rsidRPr="009339B2">
        <w:rPr>
          <w:lang w:val="pl-PL"/>
        </w:rPr>
        <w:t>ZZP.261.</w:t>
      </w:r>
      <w:r w:rsidR="00B41402">
        <w:rPr>
          <w:lang w:val="pl-PL"/>
        </w:rPr>
        <w:t>20</w:t>
      </w:r>
      <w:r w:rsidRPr="009339B2">
        <w:rPr>
          <w:lang w:val="pl-PL"/>
        </w:rPr>
        <w:t>.2019</w:t>
      </w:r>
      <w:r>
        <w:rPr>
          <w:lang w:val="pl-PL"/>
        </w:rPr>
        <w:t xml:space="preserve"> </w:t>
      </w:r>
      <w:r w:rsidRPr="009339B2">
        <w:rPr>
          <w:lang w:val="pl-PL"/>
        </w:rPr>
        <w:t>wyjaśnienia treści SIWZ 1</w:t>
      </w:r>
    </w:p>
    <w:p w:rsidR="009339B2" w:rsidRPr="009339B2" w:rsidRDefault="009339B2" w:rsidP="009339B2">
      <w:pPr>
        <w:tabs>
          <w:tab w:val="decimal" w:pos="792"/>
        </w:tabs>
        <w:spacing w:line="276" w:lineRule="auto"/>
        <w:jc w:val="right"/>
        <w:rPr>
          <w:lang w:val="pl-PL"/>
        </w:rPr>
      </w:pPr>
      <w:r w:rsidRPr="009339B2">
        <w:rPr>
          <w:lang w:val="pl-PL"/>
        </w:rPr>
        <w:t>Do wszystkich wykonawców</w:t>
      </w:r>
    </w:p>
    <w:p w:rsidR="009339B2" w:rsidRDefault="009339B2" w:rsidP="009339B2">
      <w:pPr>
        <w:tabs>
          <w:tab w:val="decimal" w:pos="792"/>
        </w:tabs>
        <w:spacing w:line="276" w:lineRule="auto"/>
        <w:rPr>
          <w:lang w:val="pl-PL"/>
        </w:rPr>
      </w:pPr>
    </w:p>
    <w:p w:rsidR="005539D2" w:rsidRDefault="005539D2" w:rsidP="009339B2">
      <w:pPr>
        <w:tabs>
          <w:tab w:val="decimal" w:pos="792"/>
        </w:tabs>
        <w:spacing w:line="276" w:lineRule="auto"/>
        <w:rPr>
          <w:lang w:val="pl-PL"/>
        </w:rPr>
      </w:pPr>
    </w:p>
    <w:p w:rsidR="004528FC" w:rsidRPr="009339B2" w:rsidRDefault="004528FC" w:rsidP="009339B2">
      <w:pPr>
        <w:tabs>
          <w:tab w:val="decimal" w:pos="792"/>
        </w:tabs>
        <w:spacing w:line="276" w:lineRule="auto"/>
        <w:rPr>
          <w:lang w:val="pl-PL"/>
        </w:rPr>
      </w:pPr>
    </w:p>
    <w:p w:rsidR="009339B2" w:rsidRPr="009339B2" w:rsidRDefault="009339B2" w:rsidP="009339B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9339B2">
        <w:rPr>
          <w:lang w:val="pl-PL"/>
        </w:rPr>
        <w:t>I.</w:t>
      </w:r>
      <w:r w:rsidRPr="009339B2">
        <w:rPr>
          <w:lang w:val="pl-PL"/>
        </w:rPr>
        <w:tab/>
      </w:r>
      <w:r>
        <w:rPr>
          <w:lang w:val="pl-PL"/>
        </w:rPr>
        <w:t xml:space="preserve"> </w:t>
      </w:r>
      <w:r w:rsidRPr="009339B2">
        <w:rPr>
          <w:lang w:val="pl-PL"/>
        </w:rPr>
        <w:t xml:space="preserve">Działając zgodnie z art. 38 ust. 2 ustawy z dnia 29 stycznia 2004 r. Prawo zamówień publicznych (zwanej dalej </w:t>
      </w:r>
      <w:proofErr w:type="spellStart"/>
      <w:r w:rsidRPr="009339B2">
        <w:rPr>
          <w:lang w:val="pl-PL"/>
        </w:rPr>
        <w:t>Pzp</w:t>
      </w:r>
      <w:proofErr w:type="spellEnd"/>
      <w:r w:rsidRPr="009339B2">
        <w:rPr>
          <w:lang w:val="pl-PL"/>
        </w:rPr>
        <w:t xml:space="preserve">) Zamawiający przedstawia poniżej pytanie do treści Specyfikacji Istotnych Warunków Zamówienia dla przetargu nieograniczonego na Usługa sprzątania pomieszczeń biurowo-magazynowych oraz utrzymaniu terenu zewnętrznego w budynku w Krakowie przy al. Krasińskiego 11a w Krakowie, numer </w:t>
      </w:r>
      <w:r>
        <w:rPr>
          <w:lang w:val="pl-PL"/>
        </w:rPr>
        <w:t xml:space="preserve">postępowania </w:t>
      </w:r>
      <w:r w:rsidRPr="009339B2">
        <w:rPr>
          <w:lang w:val="pl-PL"/>
        </w:rPr>
        <w:t>ZZP.261.</w:t>
      </w:r>
      <w:r w:rsidR="00B41402">
        <w:rPr>
          <w:lang w:val="pl-PL"/>
        </w:rPr>
        <w:t>20</w:t>
      </w:r>
      <w:r w:rsidRPr="009339B2">
        <w:rPr>
          <w:lang w:val="pl-PL"/>
        </w:rPr>
        <w:t>.2019, wraz z udzielonymi wyjaśnieniami:</w:t>
      </w:r>
    </w:p>
    <w:p w:rsidR="004528FC" w:rsidRDefault="004528FC" w:rsidP="009339B2">
      <w:pPr>
        <w:tabs>
          <w:tab w:val="decimal" w:pos="792"/>
        </w:tabs>
        <w:spacing w:line="276" w:lineRule="auto"/>
        <w:jc w:val="both"/>
        <w:rPr>
          <w:lang w:val="pl-PL"/>
        </w:rPr>
      </w:pPr>
    </w:p>
    <w:p w:rsidR="00B41402" w:rsidRDefault="00B41402" w:rsidP="009339B2">
      <w:pPr>
        <w:tabs>
          <w:tab w:val="decimal" w:pos="792"/>
        </w:tabs>
        <w:spacing w:line="276" w:lineRule="auto"/>
        <w:jc w:val="both"/>
        <w:rPr>
          <w:lang w:val="pl-PL"/>
        </w:rPr>
      </w:pPr>
      <w:r>
        <w:rPr>
          <w:lang w:val="pl-PL"/>
        </w:rPr>
        <w:t>Pytanie nr 1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B41402">
        <w:rPr>
          <w:lang w:val="pl-PL"/>
        </w:rPr>
        <w:tab/>
        <w:t xml:space="preserve">Zamawiający wymaga, aby środki czystości, środki dezynfekujące posiadały atesty PZH. Informujemy, iż z dniem 01.01.2003r. ustała prawnie obowiązująca konieczność uzyskiwania. atestów PZH, w związku z tym prosimy o zrezygnowanie z tego wymogu. Podstawą prawną jest ustawa z dnia 30 sierpnia 2002 r. o systemie oceny zgodności z późniejszymi zmianami (tekst jednolity Dz. U. z 2017 r. poz. 1226), znosząca rozporządzenie Prezydenta Rzeczpospolitej z dnia 22.03.1928, które było podstawą prawną procedury rejestracji przedmiotów użytku w PZH. 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B41402">
        <w:rPr>
          <w:lang w:val="pl-PL"/>
        </w:rPr>
        <w:t xml:space="preserve">Jednocześnie pragniemy zaznaczyć, że na dzień dzisiejszy dokumentami  dopuszczającymi, w zależności od rodzaju środka, są: 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B41402">
        <w:rPr>
          <w:lang w:val="pl-PL"/>
        </w:rPr>
        <w:t>a)</w:t>
      </w:r>
      <w:r w:rsidRPr="00B41402">
        <w:rPr>
          <w:lang w:val="pl-PL"/>
        </w:rPr>
        <w:tab/>
        <w:t xml:space="preserve">dla środków myjących, czyszczących, konserwujących posiadających w swym składzie substancje niebezpieczne- karty charakterystyki, 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B41402">
        <w:rPr>
          <w:lang w:val="pl-PL"/>
        </w:rPr>
        <w:t>b)</w:t>
      </w:r>
      <w:r w:rsidRPr="00B41402">
        <w:rPr>
          <w:lang w:val="pl-PL"/>
        </w:rPr>
        <w:tab/>
        <w:t>dla preparatów dezynfekcyjnych będących wyrobami medycznymi -</w:t>
      </w:r>
      <w:r>
        <w:rPr>
          <w:lang w:val="pl-PL"/>
        </w:rPr>
        <w:t xml:space="preserve"> </w:t>
      </w:r>
      <w:r w:rsidRPr="00B41402">
        <w:rPr>
          <w:lang w:val="pl-PL"/>
        </w:rPr>
        <w:t xml:space="preserve">deklaracje zgodności                        i certyfikat CE, 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B41402">
        <w:rPr>
          <w:lang w:val="pl-PL"/>
        </w:rPr>
        <w:t>c)</w:t>
      </w:r>
      <w:r w:rsidRPr="00B41402">
        <w:rPr>
          <w:lang w:val="pl-PL"/>
        </w:rPr>
        <w:tab/>
        <w:t>dla preparatów dezynfekcyjnych będących produktami biobójczymi – pozwolenie obrót produktami  biobójczymi</w:t>
      </w:r>
      <w:r>
        <w:rPr>
          <w:lang w:val="pl-PL"/>
        </w:rPr>
        <w:t>,</w:t>
      </w:r>
      <w:r w:rsidRPr="00B41402">
        <w:rPr>
          <w:lang w:val="pl-PL"/>
        </w:rPr>
        <w:t xml:space="preserve"> 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B41402">
        <w:rPr>
          <w:lang w:val="pl-PL"/>
        </w:rPr>
        <w:t>d)</w:t>
      </w:r>
      <w:r w:rsidRPr="00B41402">
        <w:rPr>
          <w:lang w:val="pl-PL"/>
        </w:rPr>
        <w:tab/>
        <w:t xml:space="preserve">dla kosmetyków – zgłoszenie do CPNP (internetowy Portal Zgłaszania Produktów Kosmetycznych) 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B41402">
        <w:rPr>
          <w:lang w:val="pl-PL"/>
        </w:rPr>
        <w:t>e)</w:t>
      </w:r>
      <w:r w:rsidRPr="00B41402">
        <w:rPr>
          <w:lang w:val="pl-PL"/>
        </w:rPr>
        <w:tab/>
        <w:t>dla materiałów  (papier, ręczniki), zgodnie z obowiązującymi przepisami,  nie są wymagane dodatkowe atesty, produkty te posiadają ulotki/karty informacyjne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B41402">
        <w:rPr>
          <w:lang w:val="pl-PL"/>
        </w:rPr>
        <w:t>W związku z powyższym, czy Zamawiający dopuszcza wymienione dokumenty w miejsca atestów  PZH?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b/>
          <w:bCs/>
          <w:lang w:val="pl-PL"/>
        </w:rPr>
      </w:pPr>
      <w:r w:rsidRPr="00B41402">
        <w:rPr>
          <w:b/>
          <w:bCs/>
          <w:lang w:val="pl-PL"/>
        </w:rPr>
        <w:t>Odpowiedź nr 1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b/>
          <w:bCs/>
          <w:lang w:val="pl-PL"/>
        </w:rPr>
      </w:pPr>
      <w:r w:rsidRPr="00B41402">
        <w:rPr>
          <w:b/>
          <w:bCs/>
          <w:lang w:val="pl-PL"/>
        </w:rPr>
        <w:t>Zamawiający dopuszcza wymienione dokumenty w miejsca atestów  PZH.</w:t>
      </w:r>
    </w:p>
    <w:p w:rsid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b/>
          <w:bCs/>
          <w:lang w:val="pl-PL"/>
        </w:rPr>
      </w:pPr>
      <w:r w:rsidRPr="00B41402">
        <w:rPr>
          <w:b/>
          <w:bCs/>
          <w:lang w:val="pl-PL"/>
        </w:rPr>
        <w:t>Pytanie nr 2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B41402">
        <w:rPr>
          <w:lang w:val="pl-PL"/>
        </w:rPr>
        <w:t>Prosimy również o informację czy wyżej wymienione dokumenty wystarczą także w miejsce certyfikatów ekologicznych, które nie są obligatoryjnie wymaganymi dokumentami, a co za tym idzie środki wymagane do realizacji usługi, nie muszą ich posiadać?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b/>
          <w:bCs/>
          <w:lang w:val="pl-PL"/>
        </w:rPr>
      </w:pPr>
      <w:r w:rsidRPr="00B41402">
        <w:rPr>
          <w:b/>
          <w:bCs/>
          <w:lang w:val="pl-PL"/>
        </w:rPr>
        <w:t>Odpowiedź 2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b/>
          <w:bCs/>
          <w:lang w:val="pl-PL"/>
        </w:rPr>
      </w:pPr>
      <w:r w:rsidRPr="00B41402">
        <w:rPr>
          <w:b/>
          <w:bCs/>
          <w:lang w:val="pl-PL"/>
        </w:rPr>
        <w:t>Zamawiający informuje, iż nie wymaga potwierdzenia certyfikatów ekologicznych w formie papierowej, natomiast środki wymagane do realizacji usługi muszą być nimi opatrzone tj.: symbole ekologiczne muszą znajdować się na opakowaniach tych produktów np. symbol europejski „</w:t>
      </w:r>
      <w:proofErr w:type="spellStart"/>
      <w:r w:rsidRPr="00B41402">
        <w:rPr>
          <w:b/>
          <w:bCs/>
          <w:lang w:val="pl-PL"/>
        </w:rPr>
        <w:t>Ecolabel</w:t>
      </w:r>
      <w:proofErr w:type="spellEnd"/>
      <w:r w:rsidRPr="00B41402">
        <w:rPr>
          <w:b/>
          <w:bCs/>
          <w:lang w:val="pl-PL"/>
        </w:rPr>
        <w:t>”</w:t>
      </w:r>
      <w:r w:rsidR="00D117EC">
        <w:rPr>
          <w:b/>
          <w:bCs/>
          <w:lang w:val="pl-PL"/>
        </w:rPr>
        <w:t xml:space="preserve"> lub równoważny</w:t>
      </w:r>
      <w:r w:rsidRPr="00B41402">
        <w:rPr>
          <w:b/>
          <w:bCs/>
          <w:lang w:val="pl-PL"/>
        </w:rPr>
        <w:t xml:space="preserve">.  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</w:p>
    <w:p w:rsid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>
        <w:rPr>
          <w:lang w:val="pl-PL"/>
        </w:rPr>
        <w:t>Pytanie nr 3</w:t>
      </w:r>
      <w:r w:rsidRPr="00B41402">
        <w:rPr>
          <w:lang w:val="pl-PL"/>
        </w:rPr>
        <w:tab/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B41402">
        <w:rPr>
          <w:lang w:val="pl-PL"/>
        </w:rPr>
        <w:t>Prosimy o informację czy u Zamawiającego występują dozowniki na mydło w pianie? Jeżeli tak, to jakie dozowniki – na wkłady jednorazowe czy na mydło dolewane posiada Zamawiający? W przypadku wkładów jednorazowych prosimy o wskazanie producenta dozowników.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b/>
          <w:bCs/>
          <w:lang w:val="pl-PL"/>
        </w:rPr>
      </w:pPr>
      <w:r w:rsidRPr="00B41402">
        <w:rPr>
          <w:b/>
          <w:bCs/>
          <w:lang w:val="pl-PL"/>
        </w:rPr>
        <w:tab/>
        <w:t>Odpowiedź nr 3</w:t>
      </w:r>
    </w:p>
    <w:p w:rsidR="00B41402" w:rsidRDefault="00B41402" w:rsidP="00B41402">
      <w:pPr>
        <w:tabs>
          <w:tab w:val="decimal" w:pos="792"/>
        </w:tabs>
        <w:spacing w:line="276" w:lineRule="auto"/>
        <w:jc w:val="both"/>
        <w:rPr>
          <w:b/>
          <w:bCs/>
          <w:lang w:val="pl-PL"/>
        </w:rPr>
      </w:pPr>
      <w:r w:rsidRPr="00B41402">
        <w:rPr>
          <w:b/>
          <w:bCs/>
          <w:lang w:val="pl-PL"/>
        </w:rPr>
        <w:t>U Zamawiającego nie występują dozowniki na mydło w pianie. Zamawiający posiada  dozowniki na wkłady jednorazowe (ręczniki papierowe składane) firmy MERIDA oraz EKAPLAST a na mydło dolewane oraz papier toaletowy – EKAPLAST.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b/>
          <w:bCs/>
          <w:lang w:val="pl-PL"/>
        </w:rPr>
      </w:pPr>
    </w:p>
    <w:p w:rsid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>
        <w:rPr>
          <w:lang w:val="pl-PL"/>
        </w:rPr>
        <w:t>Pytanie nr 4</w:t>
      </w:r>
      <w:r w:rsidRPr="00B41402">
        <w:rPr>
          <w:lang w:val="pl-PL"/>
        </w:rPr>
        <w:tab/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lang w:val="pl-PL"/>
        </w:rPr>
      </w:pPr>
      <w:r w:rsidRPr="00B41402">
        <w:rPr>
          <w:lang w:val="pl-PL"/>
        </w:rPr>
        <w:t>Prosimy o potwierdzenie, że w przypadku braku dostępności środków i materiałów wskazanych w Karcie zużycia środków jednorazowych, Zamawiający dopuszcza zamienniki o parametrach zgodnych z ich kartami technicznymi?</w:t>
      </w:r>
    </w:p>
    <w:p w:rsidR="00B41402" w:rsidRPr="00B41402" w:rsidRDefault="00B41402" w:rsidP="00B41402">
      <w:pPr>
        <w:tabs>
          <w:tab w:val="decimal" w:pos="792"/>
        </w:tabs>
        <w:spacing w:line="276" w:lineRule="auto"/>
        <w:jc w:val="both"/>
        <w:rPr>
          <w:b/>
          <w:bCs/>
          <w:lang w:val="pl-PL"/>
        </w:rPr>
      </w:pPr>
      <w:r w:rsidRPr="00B41402">
        <w:rPr>
          <w:b/>
          <w:bCs/>
          <w:lang w:val="pl-PL"/>
        </w:rPr>
        <w:t>Odpowiedź nr 4</w:t>
      </w:r>
    </w:p>
    <w:p w:rsidR="00B41402" w:rsidRDefault="00B41402" w:rsidP="00B41402">
      <w:pPr>
        <w:tabs>
          <w:tab w:val="decimal" w:pos="792"/>
        </w:tabs>
        <w:spacing w:line="276" w:lineRule="auto"/>
        <w:jc w:val="both"/>
        <w:rPr>
          <w:b/>
          <w:bCs/>
          <w:lang w:val="pl-PL"/>
        </w:rPr>
      </w:pPr>
      <w:r w:rsidRPr="00B41402">
        <w:rPr>
          <w:b/>
          <w:bCs/>
          <w:lang w:val="pl-PL"/>
        </w:rPr>
        <w:t xml:space="preserve">Zamawiający potwierdza, że zgodnie z SIWZ (załącznik nr 3 do umowy – Karta zużycia środków jednorazowych) dopuszcza zamienniki o parametrach zgodnych z </w:t>
      </w:r>
      <w:r>
        <w:rPr>
          <w:b/>
          <w:bCs/>
          <w:lang w:val="pl-PL"/>
        </w:rPr>
        <w:t xml:space="preserve">opisami w w/w dokumencie. </w:t>
      </w:r>
    </w:p>
    <w:p w:rsidR="00B41402" w:rsidRDefault="00B41402" w:rsidP="00B41402">
      <w:pPr>
        <w:tabs>
          <w:tab w:val="decimal" w:pos="792"/>
        </w:tabs>
        <w:spacing w:line="276" w:lineRule="auto"/>
        <w:jc w:val="both"/>
        <w:rPr>
          <w:b/>
          <w:bCs/>
          <w:lang w:val="pl-PL"/>
        </w:rPr>
      </w:pPr>
    </w:p>
    <w:p w:rsidR="00DA462A" w:rsidRDefault="00DA462A" w:rsidP="009339B2">
      <w:pPr>
        <w:tabs>
          <w:tab w:val="decimal" w:pos="792"/>
        </w:tabs>
        <w:spacing w:line="276" w:lineRule="auto"/>
        <w:jc w:val="both"/>
        <w:rPr>
          <w:lang w:val="pl-PL"/>
        </w:rPr>
      </w:pPr>
    </w:p>
    <w:p w:rsidR="005539D2" w:rsidRPr="005539D2" w:rsidRDefault="005539D2" w:rsidP="005539D2">
      <w:pPr>
        <w:tabs>
          <w:tab w:val="left" w:pos="284"/>
        </w:tabs>
        <w:spacing w:after="120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II. </w:t>
      </w:r>
      <w:r w:rsidRPr="005539D2">
        <w:rPr>
          <w:rFonts w:ascii="Verdana" w:hAnsi="Verdana"/>
          <w:sz w:val="18"/>
          <w:szCs w:val="18"/>
          <w:lang w:val="pl-PL"/>
        </w:rPr>
        <w:t>Zamawiający informuje, że dotychczasowy termin składania ofert w postępowaniu</w:t>
      </w:r>
      <w:r w:rsidR="00B41402">
        <w:rPr>
          <w:rFonts w:ascii="Verdana" w:hAnsi="Verdana"/>
          <w:sz w:val="18"/>
          <w:szCs w:val="18"/>
          <w:lang w:val="pl-PL"/>
        </w:rPr>
        <w:t xml:space="preserve"> nie ulega zmianie</w:t>
      </w:r>
      <w:r w:rsidRPr="005539D2">
        <w:rPr>
          <w:rFonts w:ascii="Verdana" w:hAnsi="Verdana"/>
          <w:sz w:val="18"/>
          <w:szCs w:val="18"/>
          <w:lang w:val="pl-PL"/>
        </w:rPr>
        <w:t>.</w:t>
      </w:r>
    </w:p>
    <w:p w:rsidR="005539D2" w:rsidRPr="005539D2" w:rsidRDefault="005539D2" w:rsidP="005539D2">
      <w:pPr>
        <w:tabs>
          <w:tab w:val="left" w:pos="284"/>
        </w:tabs>
        <w:spacing w:after="120"/>
        <w:jc w:val="both"/>
        <w:rPr>
          <w:rFonts w:ascii="Verdana" w:hAnsi="Verdana"/>
          <w:sz w:val="18"/>
          <w:szCs w:val="18"/>
          <w:lang w:val="pl-PL"/>
        </w:rPr>
      </w:pPr>
    </w:p>
    <w:p w:rsidR="005539D2" w:rsidRPr="005539D2" w:rsidRDefault="005539D2" w:rsidP="005539D2">
      <w:pPr>
        <w:tabs>
          <w:tab w:val="left" w:pos="284"/>
        </w:tabs>
        <w:spacing w:after="120"/>
        <w:jc w:val="both"/>
        <w:rPr>
          <w:rFonts w:ascii="Verdana" w:hAnsi="Verdana"/>
          <w:sz w:val="18"/>
          <w:szCs w:val="18"/>
          <w:lang w:val="pl-PL"/>
        </w:rPr>
      </w:pPr>
      <w:r w:rsidRPr="005539D2">
        <w:rPr>
          <w:rFonts w:ascii="Verdana" w:hAnsi="Verdana"/>
          <w:sz w:val="18"/>
          <w:szCs w:val="18"/>
          <w:lang w:val="pl-PL"/>
        </w:rPr>
        <w:t>Niniejsze wyjaśnienia stają się integralną częścią Specyfikacji Istotnych Warunków Zamówienia.</w:t>
      </w:r>
    </w:p>
    <w:p w:rsidR="005539D2" w:rsidRPr="005539D2" w:rsidRDefault="005539D2" w:rsidP="005539D2">
      <w:pPr>
        <w:tabs>
          <w:tab w:val="left" w:pos="284"/>
        </w:tabs>
        <w:spacing w:after="120"/>
        <w:jc w:val="both"/>
        <w:rPr>
          <w:rFonts w:ascii="Verdana" w:hAnsi="Verdana"/>
          <w:b/>
          <w:sz w:val="18"/>
          <w:szCs w:val="18"/>
          <w:lang w:val="pl-PL"/>
        </w:rPr>
      </w:pPr>
    </w:p>
    <w:p w:rsidR="005539D2" w:rsidRPr="005539D2" w:rsidRDefault="005539D2" w:rsidP="005539D2">
      <w:pPr>
        <w:tabs>
          <w:tab w:val="left" w:pos="284"/>
        </w:tabs>
        <w:spacing w:after="120"/>
        <w:jc w:val="both"/>
        <w:rPr>
          <w:rFonts w:ascii="Verdana" w:hAnsi="Verdana"/>
          <w:b/>
          <w:sz w:val="18"/>
          <w:szCs w:val="18"/>
          <w:u w:val="single"/>
          <w:lang w:val="pl-PL"/>
        </w:rPr>
      </w:pPr>
      <w:r w:rsidRPr="005539D2">
        <w:rPr>
          <w:rFonts w:ascii="Verdana" w:hAnsi="Verdana"/>
          <w:b/>
          <w:sz w:val="18"/>
          <w:szCs w:val="18"/>
          <w:u w:val="single"/>
          <w:lang w:val="pl-PL"/>
        </w:rPr>
        <w:t>Zamawiający prosi o potwierdzenie otrzymania niniejszej wiadomości.</w:t>
      </w:r>
    </w:p>
    <w:p w:rsidR="005539D2" w:rsidRPr="005539D2" w:rsidRDefault="005539D2" w:rsidP="005539D2">
      <w:pPr>
        <w:spacing w:after="120"/>
        <w:ind w:left="5528"/>
        <w:jc w:val="center"/>
        <w:rPr>
          <w:rFonts w:ascii="Verdana" w:hAnsi="Verdana"/>
          <w:sz w:val="18"/>
          <w:szCs w:val="18"/>
          <w:lang w:val="pl-PL"/>
        </w:rPr>
      </w:pPr>
    </w:p>
    <w:p w:rsidR="00DA462A" w:rsidRPr="00EF67D2" w:rsidRDefault="00DA462A" w:rsidP="009339B2">
      <w:pPr>
        <w:tabs>
          <w:tab w:val="decimal" w:pos="792"/>
        </w:tabs>
        <w:spacing w:line="276" w:lineRule="auto"/>
        <w:jc w:val="both"/>
        <w:rPr>
          <w:lang w:val="pl-PL"/>
        </w:rPr>
        <w:sectPr w:rsidR="00DA462A" w:rsidRPr="00EF67D2">
          <w:type w:val="continuous"/>
          <w:pgSz w:w="11918" w:h="16854"/>
          <w:pgMar w:top="611" w:right="1358" w:bottom="278" w:left="1400" w:header="720" w:footer="720" w:gutter="0"/>
          <w:cols w:space="708"/>
        </w:sectPr>
      </w:pPr>
    </w:p>
    <w:p w:rsidR="00216BB0" w:rsidRDefault="00216BB0" w:rsidP="009339B2">
      <w:pPr>
        <w:rPr>
          <w:rFonts w:ascii="Verdana" w:hAnsi="Verdana"/>
          <w:color w:val="000000"/>
          <w:spacing w:val="-3"/>
          <w:sz w:val="13"/>
          <w:lang w:val="pl-PL"/>
        </w:rPr>
      </w:pPr>
    </w:p>
    <w:p w:rsidR="00635B9F" w:rsidRDefault="00635B9F" w:rsidP="009339B2">
      <w:pPr>
        <w:rPr>
          <w:rFonts w:ascii="Verdana" w:hAnsi="Verdana"/>
          <w:color w:val="000000"/>
          <w:spacing w:val="-3"/>
          <w:sz w:val="13"/>
          <w:lang w:val="pl-PL"/>
        </w:rPr>
      </w:pPr>
    </w:p>
    <w:p w:rsidR="00635B9F" w:rsidRDefault="00635B9F" w:rsidP="009339B2">
      <w:pPr>
        <w:rPr>
          <w:rFonts w:ascii="Verdana" w:hAnsi="Verdana"/>
          <w:color w:val="000000"/>
          <w:spacing w:val="-3"/>
          <w:sz w:val="13"/>
          <w:lang w:val="pl-PL"/>
        </w:rPr>
      </w:pPr>
    </w:p>
    <w:p w:rsidR="00635B9F" w:rsidRDefault="00635B9F" w:rsidP="009339B2">
      <w:pPr>
        <w:rPr>
          <w:rFonts w:ascii="Verdana" w:hAnsi="Verdana"/>
          <w:color w:val="000000"/>
          <w:spacing w:val="-3"/>
          <w:sz w:val="13"/>
          <w:lang w:val="pl-PL"/>
        </w:rPr>
      </w:pPr>
    </w:p>
    <w:p w:rsidR="00635B9F" w:rsidRDefault="00635B9F" w:rsidP="009339B2">
      <w:pPr>
        <w:rPr>
          <w:rFonts w:ascii="Verdana" w:hAnsi="Verdana"/>
          <w:color w:val="000000"/>
          <w:spacing w:val="-3"/>
          <w:sz w:val="13"/>
          <w:lang w:val="pl-PL"/>
        </w:rPr>
      </w:pPr>
    </w:p>
    <w:p w:rsidR="00635B9F" w:rsidRDefault="00635B9F" w:rsidP="009339B2">
      <w:pPr>
        <w:rPr>
          <w:rFonts w:ascii="Verdana" w:hAnsi="Verdana"/>
          <w:color w:val="000000"/>
          <w:spacing w:val="-3"/>
          <w:sz w:val="13"/>
          <w:lang w:val="pl-PL"/>
        </w:rPr>
      </w:pPr>
    </w:p>
    <w:p w:rsidR="00635B9F" w:rsidRDefault="00635B9F" w:rsidP="00635B9F">
      <w:pPr>
        <w:jc w:val="right"/>
        <w:rPr>
          <w:rFonts w:ascii="Verdana" w:hAnsi="Verdana"/>
          <w:color w:val="000000"/>
          <w:spacing w:val="-3"/>
          <w:sz w:val="13"/>
          <w:lang w:val="pl-PL"/>
        </w:rPr>
      </w:pPr>
    </w:p>
    <w:p w:rsidR="00635B9F" w:rsidRPr="009339B2" w:rsidRDefault="00635B9F" w:rsidP="00635B9F">
      <w:pPr>
        <w:jc w:val="right"/>
        <w:rPr>
          <w:rFonts w:ascii="Verdana" w:hAnsi="Verdana"/>
          <w:color w:val="000000"/>
          <w:spacing w:val="-3"/>
          <w:sz w:val="13"/>
          <w:lang w:val="pl-PL"/>
        </w:rPr>
      </w:pPr>
      <w:r>
        <w:rPr>
          <w:rFonts w:ascii="Verdana" w:hAnsi="Verdana"/>
          <w:color w:val="000000"/>
          <w:spacing w:val="-3"/>
          <w:sz w:val="13"/>
          <w:lang w:val="pl-PL"/>
        </w:rPr>
        <w:t>_________________________</w:t>
      </w:r>
    </w:p>
    <w:sectPr w:rsidR="00635B9F" w:rsidRPr="009339B2">
      <w:type w:val="continuous"/>
      <w:pgSz w:w="11918" w:h="16854"/>
      <w:pgMar w:top="860" w:right="1340" w:bottom="946" w:left="31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64DE"/>
    <w:multiLevelType w:val="multilevel"/>
    <w:tmpl w:val="BC9ADE8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352A6"/>
    <w:multiLevelType w:val="hybridMultilevel"/>
    <w:tmpl w:val="84BED3AE"/>
    <w:lvl w:ilvl="0" w:tplc="9D1A9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2FF"/>
    <w:multiLevelType w:val="multilevel"/>
    <w:tmpl w:val="203E3B3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0"/>
    <w:rsid w:val="00216BB0"/>
    <w:rsid w:val="004528FC"/>
    <w:rsid w:val="005539D2"/>
    <w:rsid w:val="00635B9F"/>
    <w:rsid w:val="0075222F"/>
    <w:rsid w:val="009339B2"/>
    <w:rsid w:val="00A934B4"/>
    <w:rsid w:val="00B41402"/>
    <w:rsid w:val="00D117EC"/>
    <w:rsid w:val="00DA462A"/>
    <w:rsid w:val="00E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EC812-05E4-4EF5-BD0F-433E8371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9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Karbownik</dc:creator>
  <cp:lastModifiedBy>Małgorzata Karbownik</cp:lastModifiedBy>
  <cp:revision>2</cp:revision>
  <dcterms:created xsi:type="dcterms:W3CDTF">2019-12-17T13:07:00Z</dcterms:created>
  <dcterms:modified xsi:type="dcterms:W3CDTF">2019-12-17T13:07:00Z</dcterms:modified>
</cp:coreProperties>
</file>